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5A4" w:rsidRPr="004A375A" w:rsidRDefault="00F6017E" w:rsidP="00F6017E">
      <w:pPr>
        <w:jc w:val="center"/>
        <w:rPr>
          <w:color w:val="1F3864" w:themeColor="accent1" w:themeShade="80"/>
        </w:rPr>
      </w:pPr>
      <w:r w:rsidRPr="004A375A">
        <w:rPr>
          <w:rFonts w:asciiTheme="minorHAnsi" w:hAnsiTheme="minorHAnsi" w:cs="Tahoma"/>
          <w:b/>
          <w:bCs/>
          <w:color w:val="1F3864" w:themeColor="accent1" w:themeShade="80"/>
          <w:spacing w:val="-2"/>
          <w:sz w:val="28"/>
        </w:rPr>
        <w:t xml:space="preserve">POLITIQUE CONCERNANT LA CONSOMMATION DE DROGUES, </w:t>
      </w:r>
      <w:r w:rsidRPr="004A375A">
        <w:rPr>
          <w:rFonts w:asciiTheme="minorHAnsi" w:hAnsiTheme="minorHAnsi" w:cs="Tahoma"/>
          <w:b/>
          <w:bCs/>
          <w:color w:val="1F3864" w:themeColor="accent1" w:themeShade="80"/>
          <w:spacing w:val="-2"/>
          <w:sz w:val="28"/>
        </w:rPr>
        <w:br/>
        <w:t>D’ALCOOL ET DE MÉDICAMENTS</w:t>
      </w:r>
    </w:p>
    <w:p w:rsidR="00B655A4" w:rsidRDefault="00B655A4" w:rsidP="00B655A4"/>
    <w:p w:rsidR="00B655A4" w:rsidRDefault="00B655A4" w:rsidP="00B655A4"/>
    <w:tbl>
      <w:tblPr>
        <w:tblStyle w:val="Grilledutableau"/>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131"/>
        <w:gridCol w:w="4297"/>
      </w:tblGrid>
      <w:tr w:rsidR="00B655A4" w:rsidRPr="00CD6A17" w:rsidTr="000275CD">
        <w:trPr>
          <w:trHeight w:val="567"/>
          <w:jc w:val="center"/>
        </w:trPr>
        <w:tc>
          <w:tcPr>
            <w:tcW w:w="5131" w:type="dxa"/>
            <w:vAlign w:val="center"/>
          </w:tcPr>
          <w:p w:rsidR="00B655A4" w:rsidRPr="000A6D3B" w:rsidRDefault="00B655A4" w:rsidP="000275CD">
            <w:pPr>
              <w:rPr>
                <w:rFonts w:asciiTheme="minorHAnsi" w:hAnsiTheme="minorHAnsi"/>
                <w:sz w:val="22"/>
                <w:szCs w:val="22"/>
              </w:rPr>
            </w:pPr>
            <w:r w:rsidRPr="000A6D3B">
              <w:rPr>
                <w:rFonts w:asciiTheme="minorHAnsi" w:hAnsiTheme="minorHAnsi"/>
                <w:sz w:val="22"/>
                <w:szCs w:val="22"/>
              </w:rPr>
              <w:t xml:space="preserve">Direction des </w:t>
            </w:r>
            <w:r w:rsidR="000275CD">
              <w:rPr>
                <w:rFonts w:asciiTheme="minorHAnsi" w:hAnsiTheme="minorHAnsi"/>
                <w:sz w:val="22"/>
                <w:szCs w:val="22"/>
              </w:rPr>
              <w:t>ressources humaines</w:t>
            </w:r>
          </w:p>
        </w:tc>
        <w:tc>
          <w:tcPr>
            <w:tcW w:w="4297" w:type="dxa"/>
            <w:vAlign w:val="center"/>
          </w:tcPr>
          <w:p w:rsidR="00B655A4" w:rsidRPr="000A6D3B" w:rsidRDefault="00B655A4" w:rsidP="00716BE9">
            <w:pPr>
              <w:rPr>
                <w:rFonts w:asciiTheme="minorHAnsi" w:hAnsiTheme="minorHAnsi"/>
                <w:sz w:val="22"/>
                <w:szCs w:val="22"/>
              </w:rPr>
            </w:pPr>
            <w:r w:rsidRPr="000A6D3B">
              <w:rPr>
                <w:rFonts w:asciiTheme="minorHAnsi" w:hAnsiTheme="minorHAnsi"/>
                <w:sz w:val="22"/>
                <w:szCs w:val="22"/>
              </w:rPr>
              <w:t xml:space="preserve">      </w:t>
            </w:r>
            <w:r w:rsidR="008D0EE4" w:rsidRPr="00EB518F">
              <w:rPr>
                <w:rFonts w:asciiTheme="minorHAnsi" w:hAnsiTheme="minorHAnsi"/>
                <w:b/>
                <w:sz w:val="22"/>
                <w:szCs w:val="22"/>
              </w:rPr>
              <w:t>En vigueur le</w:t>
            </w:r>
            <w:r w:rsidR="00D10331" w:rsidRPr="00EB518F">
              <w:rPr>
                <w:rFonts w:asciiTheme="minorHAnsi" w:hAnsiTheme="minorHAnsi"/>
                <w:b/>
                <w:sz w:val="22"/>
                <w:szCs w:val="22"/>
              </w:rPr>
              <w:t> :</w:t>
            </w:r>
            <w:r w:rsidR="00D10331">
              <w:rPr>
                <w:rFonts w:asciiTheme="minorHAnsi" w:hAnsiTheme="minorHAnsi"/>
                <w:sz w:val="22"/>
                <w:szCs w:val="22"/>
              </w:rPr>
              <w:t xml:space="preserve"> 2016-</w:t>
            </w:r>
            <w:r w:rsidR="0031429C">
              <w:rPr>
                <w:rFonts w:asciiTheme="minorHAnsi" w:hAnsiTheme="minorHAnsi"/>
                <w:sz w:val="22"/>
                <w:szCs w:val="22"/>
              </w:rPr>
              <w:t>04-12</w:t>
            </w:r>
          </w:p>
          <w:p w:rsidR="00B655A4" w:rsidRPr="00EB518F" w:rsidRDefault="008D0EE4" w:rsidP="00D10331">
            <w:pPr>
              <w:rPr>
                <w:rFonts w:asciiTheme="minorHAnsi" w:hAnsiTheme="minorHAnsi"/>
                <w:b/>
                <w:sz w:val="22"/>
                <w:szCs w:val="22"/>
              </w:rPr>
            </w:pPr>
            <w:r w:rsidRPr="00EB518F">
              <w:rPr>
                <w:rFonts w:asciiTheme="minorHAnsi" w:hAnsiTheme="minorHAnsi"/>
                <w:b/>
                <w:sz w:val="22"/>
                <w:szCs w:val="22"/>
              </w:rPr>
              <w:t xml:space="preserve">      Révisée le    </w:t>
            </w:r>
            <w:r w:rsidR="00B655A4" w:rsidRPr="00EB518F">
              <w:rPr>
                <w:rFonts w:asciiTheme="minorHAnsi" w:hAnsiTheme="minorHAnsi"/>
                <w:b/>
                <w:sz w:val="22"/>
                <w:szCs w:val="22"/>
              </w:rPr>
              <w:t xml:space="preserve">  : </w:t>
            </w:r>
            <w:r w:rsidR="00CB48A6">
              <w:rPr>
                <w:rFonts w:asciiTheme="minorHAnsi" w:hAnsiTheme="minorHAnsi"/>
                <w:b/>
                <w:sz w:val="22"/>
                <w:szCs w:val="22"/>
              </w:rPr>
              <w:t>2018-09-24</w:t>
            </w:r>
          </w:p>
        </w:tc>
      </w:tr>
      <w:tr w:rsidR="00B655A4" w:rsidRPr="00CD6A17" w:rsidTr="000275CD">
        <w:trPr>
          <w:trHeight w:val="567"/>
          <w:jc w:val="center"/>
        </w:trPr>
        <w:tc>
          <w:tcPr>
            <w:tcW w:w="9428" w:type="dxa"/>
            <w:gridSpan w:val="2"/>
            <w:vAlign w:val="center"/>
          </w:tcPr>
          <w:p w:rsidR="00B655A4" w:rsidRPr="0076203F" w:rsidRDefault="00B655A4" w:rsidP="0076203F">
            <w:pPr>
              <w:pStyle w:val="Paragraphedeliste"/>
              <w:ind w:left="142"/>
              <w:rPr>
                <w:rFonts w:asciiTheme="minorHAnsi" w:hAnsiTheme="minorHAnsi" w:cs="Tahoma"/>
                <w:sz w:val="22"/>
                <w:lang w:eastAsia="fr-CA"/>
              </w:rPr>
            </w:pPr>
            <w:r w:rsidRPr="00387251">
              <w:rPr>
                <w:rFonts w:asciiTheme="minorHAnsi" w:hAnsiTheme="minorHAnsi"/>
                <w:b/>
              </w:rPr>
              <w:t>Objectif</w:t>
            </w:r>
            <w:r>
              <w:rPr>
                <w:rFonts w:asciiTheme="minorHAnsi" w:hAnsiTheme="minorHAnsi"/>
              </w:rPr>
              <w:t> :</w:t>
            </w:r>
            <w:r w:rsidRPr="00107ACC">
              <w:rPr>
                <w:rFonts w:asciiTheme="minorHAnsi" w:hAnsiTheme="minorHAnsi" w:cs="Tahoma"/>
                <w:b/>
              </w:rPr>
              <w:t xml:space="preserve"> </w:t>
            </w:r>
            <w:r w:rsidR="00CB48A6" w:rsidRPr="00717BCF">
              <w:rPr>
                <w:rFonts w:asciiTheme="minorHAnsi" w:hAnsiTheme="minorHAnsi" w:cstheme="minorHAnsi"/>
                <w:iCs/>
                <w:sz w:val="22"/>
                <w:lang w:eastAsia="en-US"/>
              </w:rPr>
              <w:t xml:space="preserve">Le Groupe CAMBI </w:t>
            </w:r>
            <w:r w:rsidR="00CB48A6">
              <w:rPr>
                <w:rFonts w:asciiTheme="minorHAnsi" w:hAnsiTheme="minorHAnsi" w:cstheme="minorHAnsi"/>
                <w:iCs/>
                <w:sz w:val="22"/>
                <w:lang w:eastAsia="en-US"/>
              </w:rPr>
              <w:t>(c</w:t>
            </w:r>
            <w:r w:rsidR="00CB48A6" w:rsidRPr="00717BCF">
              <w:rPr>
                <w:rFonts w:asciiTheme="minorHAnsi" w:hAnsiTheme="minorHAnsi" w:cstheme="minorHAnsi"/>
                <w:iCs/>
                <w:sz w:val="22"/>
                <w:lang w:eastAsia="en-US"/>
              </w:rPr>
              <w:t>i-après la «</w:t>
            </w:r>
            <w:r w:rsidR="00CB48A6">
              <w:rPr>
                <w:rFonts w:asciiTheme="minorHAnsi" w:hAnsiTheme="minorHAnsi" w:cstheme="minorHAnsi"/>
                <w:iCs/>
                <w:sz w:val="22"/>
                <w:lang w:eastAsia="en-US"/>
              </w:rPr>
              <w:t> </w:t>
            </w:r>
            <w:r w:rsidR="00CB48A6" w:rsidRPr="00717BCF">
              <w:rPr>
                <w:rFonts w:asciiTheme="minorHAnsi" w:hAnsiTheme="minorHAnsi" w:cstheme="minorHAnsi"/>
                <w:iCs/>
                <w:sz w:val="22"/>
                <w:lang w:eastAsia="en-US"/>
              </w:rPr>
              <w:t>Compagnie</w:t>
            </w:r>
            <w:r w:rsidR="00CB48A6">
              <w:rPr>
                <w:rFonts w:asciiTheme="minorHAnsi" w:hAnsiTheme="minorHAnsi" w:cstheme="minorHAnsi"/>
                <w:iCs/>
                <w:sz w:val="22"/>
                <w:lang w:eastAsia="en-US"/>
              </w:rPr>
              <w:t> </w:t>
            </w:r>
            <w:r w:rsidR="00CB48A6" w:rsidRPr="00717BCF">
              <w:rPr>
                <w:rFonts w:asciiTheme="minorHAnsi" w:hAnsiTheme="minorHAnsi" w:cstheme="minorHAnsi"/>
                <w:iCs/>
                <w:sz w:val="22"/>
                <w:lang w:eastAsia="en-US"/>
              </w:rPr>
              <w:t>») a le devoir de protéger la santé et la sécurité de ses employés, d’assure</w:t>
            </w:r>
            <w:r w:rsidR="00CB48A6">
              <w:rPr>
                <w:rFonts w:asciiTheme="minorHAnsi" w:hAnsiTheme="minorHAnsi" w:cstheme="minorHAnsi"/>
                <w:iCs/>
                <w:sz w:val="22"/>
                <w:lang w:eastAsia="en-US"/>
              </w:rPr>
              <w:t xml:space="preserve">r la sécurité de ses opérations dans un contexte de haut potentiel de risque </w:t>
            </w:r>
            <w:r w:rsidR="00CB48A6" w:rsidRPr="00717BCF">
              <w:rPr>
                <w:rFonts w:asciiTheme="minorHAnsi" w:hAnsiTheme="minorHAnsi" w:cstheme="minorHAnsi"/>
                <w:iCs/>
                <w:sz w:val="22"/>
                <w:lang w:eastAsia="en-US"/>
              </w:rPr>
              <w:t>et</w:t>
            </w:r>
            <w:r w:rsidR="00CB48A6">
              <w:rPr>
                <w:rFonts w:asciiTheme="minorHAnsi" w:hAnsiTheme="minorHAnsi" w:cstheme="minorHAnsi"/>
                <w:iCs/>
                <w:sz w:val="22"/>
                <w:lang w:eastAsia="en-US"/>
              </w:rPr>
              <w:t xml:space="preserve"> de promouvoir</w:t>
            </w:r>
            <w:r w:rsidR="00CB48A6" w:rsidRPr="00717BCF">
              <w:rPr>
                <w:rFonts w:asciiTheme="minorHAnsi" w:hAnsiTheme="minorHAnsi" w:cstheme="minorHAnsi"/>
                <w:iCs/>
                <w:sz w:val="22"/>
                <w:lang w:eastAsia="en-US"/>
              </w:rPr>
              <w:t xml:space="preserve"> l’excellence des services à la population qu’elle dessert. Nous comptons </w:t>
            </w:r>
            <w:r w:rsidR="00CB48A6" w:rsidRPr="00717BCF">
              <w:rPr>
                <w:rFonts w:asciiTheme="minorHAnsi" w:hAnsiTheme="minorHAnsi" w:cstheme="minorHAnsi"/>
                <w:iCs/>
                <w:sz w:val="20"/>
                <w:lang w:eastAsia="en-US"/>
              </w:rPr>
              <w:t>donc</w:t>
            </w:r>
            <w:r w:rsidR="00CB48A6" w:rsidRPr="00717BCF">
              <w:rPr>
                <w:rFonts w:asciiTheme="minorHAnsi" w:hAnsiTheme="minorHAnsi" w:cstheme="minorHAnsi"/>
                <w:iCs/>
                <w:sz w:val="22"/>
                <w:lang w:eastAsia="en-US"/>
              </w:rPr>
              <w:t xml:space="preserve"> sur l’ensemble </w:t>
            </w:r>
            <w:r w:rsidR="00CB48A6" w:rsidRPr="00B32554">
              <w:rPr>
                <w:rFonts w:asciiTheme="minorHAnsi" w:hAnsiTheme="minorHAnsi" w:cstheme="minorHAnsi"/>
                <w:iCs/>
                <w:sz w:val="22"/>
                <w:lang w:eastAsia="en-US"/>
              </w:rPr>
              <w:t>de nos employés afin de maintenir un milieu de travail sain et sécuritaire, sans alcool ni drogue, ceci en respect de cette politique et des lois et règlements applicables.</w:t>
            </w:r>
          </w:p>
        </w:tc>
      </w:tr>
    </w:tbl>
    <w:p w:rsidR="0031429C" w:rsidRDefault="0031429C" w:rsidP="0044181F">
      <w:pPr>
        <w:jc w:val="both"/>
        <w:rPr>
          <w:rFonts w:asciiTheme="minorHAnsi" w:hAnsiTheme="minorHAnsi" w:cs="Tahoma"/>
          <w:b/>
          <w:color w:val="2F5496" w:themeColor="accent1" w:themeShade="BF"/>
          <w:lang w:eastAsia="fr-CA"/>
        </w:rPr>
      </w:pPr>
    </w:p>
    <w:p w:rsidR="0031429C" w:rsidRDefault="0031429C" w:rsidP="0044181F">
      <w:pPr>
        <w:jc w:val="both"/>
        <w:rPr>
          <w:rFonts w:asciiTheme="minorHAnsi" w:hAnsiTheme="minorHAnsi" w:cs="Tahoma"/>
          <w:b/>
          <w:color w:val="2F5496" w:themeColor="accent1" w:themeShade="BF"/>
          <w:lang w:eastAsia="fr-CA"/>
        </w:rPr>
      </w:pPr>
    </w:p>
    <w:p w:rsidR="0076203F" w:rsidRPr="004A375A" w:rsidRDefault="00CB48A6" w:rsidP="0076203F">
      <w:pPr>
        <w:pStyle w:val="Paragraphedeliste"/>
        <w:numPr>
          <w:ilvl w:val="0"/>
          <w:numId w:val="4"/>
        </w:numPr>
        <w:jc w:val="both"/>
        <w:rPr>
          <w:rFonts w:asciiTheme="minorHAnsi" w:hAnsiTheme="minorHAnsi" w:cs="Tahoma"/>
          <w:b/>
          <w:color w:val="1F3864" w:themeColor="accent1" w:themeShade="80"/>
          <w:lang w:eastAsia="fr-CA"/>
        </w:rPr>
      </w:pPr>
      <w:r>
        <w:rPr>
          <w:rFonts w:asciiTheme="minorHAnsi" w:hAnsiTheme="minorHAnsi" w:cs="Tahoma"/>
          <w:b/>
          <w:color w:val="1F3864" w:themeColor="accent1" w:themeShade="80"/>
          <w:lang w:eastAsia="fr-CA"/>
        </w:rPr>
        <w:t>APPLICATION</w:t>
      </w:r>
    </w:p>
    <w:p w:rsidR="0076203F" w:rsidRDefault="0076203F" w:rsidP="0076203F">
      <w:pPr>
        <w:ind w:left="142"/>
        <w:jc w:val="both"/>
        <w:rPr>
          <w:rFonts w:asciiTheme="minorHAnsi" w:hAnsiTheme="minorHAnsi" w:cs="Tahoma"/>
          <w:b/>
          <w:color w:val="2F5496" w:themeColor="accent1" w:themeShade="BF"/>
          <w:lang w:eastAsia="fr-CA"/>
        </w:rPr>
      </w:pPr>
    </w:p>
    <w:p w:rsidR="0076203F" w:rsidRDefault="00CB48A6" w:rsidP="004C2D9C">
      <w:pPr>
        <w:ind w:left="142"/>
        <w:jc w:val="both"/>
        <w:rPr>
          <w:rFonts w:asciiTheme="minorHAnsi" w:hAnsiTheme="minorHAnsi" w:cs="Tahoma"/>
          <w:lang w:eastAsia="fr-CA"/>
        </w:rPr>
      </w:pPr>
      <w:r w:rsidRPr="00CB48A6">
        <w:rPr>
          <w:rFonts w:asciiTheme="minorHAnsi" w:hAnsiTheme="minorHAnsi" w:cs="Tahoma"/>
          <w:lang w:eastAsia="fr-CA"/>
        </w:rPr>
        <w:t xml:space="preserve">La présente politique s’applique à tous les TA/P ainsi qu’au personnel d’encadrement opérationnel et administratif, et ce, peu importe leur statut, leur horaire ou leur affectation. La présente politique est complétée par les dispositions contenues à la convention collective en vigueur, le cas échéant.  </w:t>
      </w:r>
    </w:p>
    <w:p w:rsidR="00CB48A6" w:rsidRPr="0044181F" w:rsidRDefault="00CB48A6" w:rsidP="0044181F">
      <w:pPr>
        <w:jc w:val="both"/>
        <w:rPr>
          <w:rFonts w:asciiTheme="minorHAnsi" w:hAnsiTheme="minorHAnsi" w:cs="Tahoma"/>
          <w:b/>
          <w:color w:val="2F5496" w:themeColor="accent1" w:themeShade="BF"/>
          <w:lang w:eastAsia="fr-CA"/>
        </w:rPr>
      </w:pPr>
    </w:p>
    <w:p w:rsidR="009D11E4" w:rsidRPr="004A375A" w:rsidRDefault="00CB48A6" w:rsidP="000275CD">
      <w:pPr>
        <w:pStyle w:val="Paragraphedeliste"/>
        <w:numPr>
          <w:ilvl w:val="0"/>
          <w:numId w:val="4"/>
        </w:numPr>
        <w:rPr>
          <w:rFonts w:asciiTheme="minorHAnsi" w:hAnsiTheme="minorHAnsi" w:cs="Tahoma"/>
          <w:b/>
          <w:color w:val="1F3864" w:themeColor="accent1" w:themeShade="80"/>
          <w:lang w:eastAsia="fr-CA"/>
        </w:rPr>
      </w:pPr>
      <w:r>
        <w:rPr>
          <w:rFonts w:asciiTheme="minorHAnsi" w:hAnsiTheme="minorHAnsi" w:cs="Tahoma"/>
          <w:b/>
          <w:color w:val="1F3864" w:themeColor="accent1" w:themeShade="80"/>
          <w:lang w:eastAsia="fr-CA"/>
        </w:rPr>
        <w:t>BUTS</w:t>
      </w:r>
      <w:r w:rsidR="009D11E4" w:rsidRPr="004A375A">
        <w:rPr>
          <w:rFonts w:asciiTheme="minorHAnsi" w:hAnsiTheme="minorHAnsi" w:cs="Tahoma"/>
          <w:b/>
          <w:color w:val="1F3864" w:themeColor="accent1" w:themeShade="80"/>
          <w:lang w:eastAsia="fr-CA"/>
        </w:rPr>
        <w:t> </w:t>
      </w:r>
    </w:p>
    <w:p w:rsidR="00AB51F7" w:rsidRDefault="00AB51F7" w:rsidP="00D10331">
      <w:pPr>
        <w:pStyle w:val="Default"/>
        <w:jc w:val="both"/>
        <w:rPr>
          <w:rFonts w:ascii="Tahoma" w:eastAsia="Times New Roman" w:hAnsi="Tahoma" w:cs="Tahoma"/>
          <w:color w:val="auto"/>
          <w:lang w:eastAsia="fr-FR"/>
        </w:rPr>
      </w:pPr>
    </w:p>
    <w:p w:rsidR="00EB518F" w:rsidRDefault="00CB48A6" w:rsidP="00EB518F">
      <w:pPr>
        <w:pStyle w:val="Paragraphedeliste"/>
        <w:ind w:left="142"/>
        <w:jc w:val="both"/>
        <w:rPr>
          <w:rFonts w:asciiTheme="minorHAnsi" w:eastAsiaTheme="minorHAnsi" w:hAnsiTheme="minorHAnsi" w:cs="Tahoma"/>
          <w:lang w:eastAsia="en-US"/>
        </w:rPr>
      </w:pPr>
      <w:r w:rsidRPr="00CB48A6">
        <w:rPr>
          <w:rFonts w:asciiTheme="minorHAnsi" w:eastAsiaTheme="minorHAnsi" w:hAnsiTheme="minorHAnsi" w:cs="Tahoma"/>
          <w:lang w:eastAsia="en-US"/>
        </w:rPr>
        <w:t>La présente politique a donc pour but d’énoncer clairement la position de la Compagnie relativement à l’alcool, la drogue et l’usage de médicaments sur les lieux de travail et/ou lors des quarts de travail, nonobstant le type d’horaire.</w:t>
      </w:r>
    </w:p>
    <w:p w:rsidR="00CB48A6" w:rsidRDefault="00CB48A6" w:rsidP="00EB518F">
      <w:pPr>
        <w:pStyle w:val="Paragraphedeliste"/>
        <w:ind w:left="142"/>
        <w:jc w:val="both"/>
        <w:rPr>
          <w:rFonts w:asciiTheme="minorHAnsi" w:hAnsiTheme="minorHAnsi" w:cs="Tahoma"/>
          <w:b/>
          <w:color w:val="2F5496" w:themeColor="accent1" w:themeShade="BF"/>
          <w:lang w:eastAsia="fr-CA"/>
        </w:rPr>
      </w:pPr>
    </w:p>
    <w:p w:rsidR="00D10331" w:rsidRPr="004A375A" w:rsidRDefault="00CB48A6" w:rsidP="000275CD">
      <w:pPr>
        <w:pStyle w:val="Paragraphedeliste"/>
        <w:numPr>
          <w:ilvl w:val="0"/>
          <w:numId w:val="4"/>
        </w:numPr>
        <w:rPr>
          <w:rFonts w:asciiTheme="minorHAnsi" w:hAnsiTheme="minorHAnsi" w:cs="Tahoma"/>
          <w:b/>
          <w:color w:val="1F3864" w:themeColor="accent1" w:themeShade="80"/>
          <w:lang w:eastAsia="fr-CA"/>
        </w:rPr>
      </w:pPr>
      <w:r>
        <w:rPr>
          <w:rFonts w:asciiTheme="minorHAnsi" w:hAnsiTheme="minorHAnsi" w:cs="Tahoma"/>
          <w:b/>
          <w:color w:val="1F3864" w:themeColor="accent1" w:themeShade="80"/>
          <w:lang w:eastAsia="fr-CA"/>
        </w:rPr>
        <w:t>PRINCIPES</w:t>
      </w:r>
    </w:p>
    <w:p w:rsidR="00AB51F7" w:rsidRDefault="00AB51F7" w:rsidP="00AB51F7">
      <w:pPr>
        <w:ind w:left="142"/>
        <w:rPr>
          <w:rFonts w:asciiTheme="minorHAnsi" w:hAnsiTheme="minorHAnsi" w:cs="Tahoma"/>
          <w:b/>
          <w:color w:val="70AD47" w:themeColor="accent6"/>
          <w:lang w:eastAsia="fr-CA"/>
        </w:rPr>
      </w:pPr>
    </w:p>
    <w:p w:rsidR="00CB48A6" w:rsidRPr="0090079A" w:rsidRDefault="00CB48A6" w:rsidP="00CB48A6">
      <w:pPr>
        <w:ind w:left="142"/>
        <w:jc w:val="both"/>
        <w:rPr>
          <w:rFonts w:asciiTheme="minorHAnsi" w:hAnsiTheme="minorHAnsi" w:cs="Tahoma"/>
          <w:b/>
          <w:color w:val="FF0000"/>
          <w:lang w:eastAsia="fr-CA"/>
        </w:rPr>
      </w:pPr>
      <w:r w:rsidRPr="00F726B4">
        <w:rPr>
          <w:rFonts w:asciiTheme="minorHAnsi" w:hAnsiTheme="minorHAnsi" w:cstheme="minorHAnsi"/>
          <w:iCs/>
        </w:rPr>
        <w:t xml:space="preserve">Il est strictement interdit pour tous les employés, quel que soit le poste qu’ils occupent, de consommer sur les lieux du travail, </w:t>
      </w:r>
      <w:bookmarkStart w:id="0" w:name="_Hlk516207427"/>
      <w:r w:rsidRPr="00F726B4">
        <w:rPr>
          <w:rFonts w:asciiTheme="minorHAnsi" w:hAnsiTheme="minorHAnsi" w:cstheme="minorHAnsi"/>
          <w:iCs/>
        </w:rPr>
        <w:t>à tout autre endroit où ils exercent leurs fonctions ou durant leur quart de travail, que ce soit des horaires à l’heure ou en faction,</w:t>
      </w:r>
      <w:bookmarkEnd w:id="0"/>
      <w:r w:rsidRPr="00F726B4">
        <w:rPr>
          <w:rFonts w:asciiTheme="minorHAnsi" w:hAnsiTheme="minorHAnsi" w:cstheme="minorHAnsi"/>
          <w:iCs/>
        </w:rPr>
        <w:t xml:space="preserve"> de l’alcool ou de la drogue, légale ou illicite</w:t>
      </w:r>
      <w:r>
        <w:rPr>
          <w:rFonts w:asciiTheme="minorHAnsi" w:hAnsiTheme="minorHAnsi" w:cstheme="minorHAnsi"/>
          <w:iCs/>
        </w:rPr>
        <w:t>.</w:t>
      </w:r>
    </w:p>
    <w:p w:rsidR="00CB48A6" w:rsidRDefault="00CB48A6" w:rsidP="00CB48A6">
      <w:pPr>
        <w:ind w:left="142"/>
        <w:jc w:val="both"/>
        <w:rPr>
          <w:rFonts w:asciiTheme="minorHAnsi" w:hAnsiTheme="minorHAnsi" w:cs="Tahoma"/>
          <w:b/>
          <w:color w:val="2F5496" w:themeColor="accent1" w:themeShade="BF"/>
          <w:lang w:eastAsia="fr-CA"/>
        </w:rPr>
      </w:pPr>
    </w:p>
    <w:p w:rsidR="00CB48A6" w:rsidRPr="00B32554" w:rsidRDefault="00CB48A6" w:rsidP="00CB48A6">
      <w:pPr>
        <w:pStyle w:val="Corpsdetexte"/>
        <w:spacing w:after="0"/>
        <w:ind w:left="142"/>
        <w:jc w:val="both"/>
        <w:rPr>
          <w:rFonts w:asciiTheme="minorHAnsi" w:hAnsiTheme="minorHAnsi" w:cs="Tahoma"/>
          <w:lang w:eastAsia="fr-CA"/>
        </w:rPr>
      </w:pPr>
      <w:proofErr w:type="spellStart"/>
      <w:proofErr w:type="gramStart"/>
      <w:r w:rsidRPr="00B32554">
        <w:rPr>
          <w:rFonts w:asciiTheme="minorHAnsi" w:hAnsiTheme="minorHAnsi" w:cstheme="minorHAnsi"/>
          <w:iCs/>
        </w:rPr>
        <w:t>ll</w:t>
      </w:r>
      <w:proofErr w:type="spellEnd"/>
      <w:proofErr w:type="gramEnd"/>
      <w:r w:rsidRPr="00B32554">
        <w:rPr>
          <w:rFonts w:asciiTheme="minorHAnsi" w:hAnsiTheme="minorHAnsi" w:cstheme="minorHAnsi"/>
          <w:iCs/>
        </w:rPr>
        <w:t xml:space="preserve"> est également strictement interdit pour tous les employés, </w:t>
      </w:r>
      <w:r w:rsidRPr="00B32554">
        <w:rPr>
          <w:rFonts w:asciiTheme="minorHAnsi" w:hAnsiTheme="minorHAnsi" w:cstheme="minorHAnsi"/>
          <w:iCs/>
          <w:spacing w:val="-2"/>
          <w:lang w:eastAsia="en-US"/>
        </w:rPr>
        <w:t>quel que soit le poste qu’il occupe</w:t>
      </w:r>
      <w:r w:rsidRPr="00B32554">
        <w:rPr>
          <w:rFonts w:asciiTheme="minorHAnsi" w:hAnsiTheme="minorHAnsi" w:cstheme="minorHAnsi"/>
          <w:iCs/>
        </w:rPr>
        <w:t>, de se présenter au travail ou exercer ses fonctions sous l’influence de l’alcool ou de la drogue, légale ou illicite, ou si ses capacités, ou sa vigilance sont affaiblies par des médicaments d’ordonnance ou de vente libre (tel que défini ci-après), peu importe le moment où les substances ont été consommées.</w:t>
      </w:r>
      <w:r w:rsidRPr="00B32554">
        <w:t xml:space="preserve"> </w:t>
      </w:r>
      <w:r w:rsidRPr="00B32554">
        <w:rPr>
          <w:rFonts w:asciiTheme="minorHAnsi" w:hAnsiTheme="minorHAnsi" w:cs="Tahoma"/>
          <w:lang w:eastAsia="fr-CA"/>
        </w:rPr>
        <w:t>Compte tenu de la nature des relations que tout TA/P entretient avec la clientèle et les différents intervenants, il est très important que son haleine ou ses vêtements ne dégagent pas une odeur éthylique ou de cannabis durant ses heures de travail. Compte tenu de ce qui précède, il est fortement recommandé aux employés de cesser de boire de l’alcool ou de consommer du cannabis légal pour des fins récréatives au moins huit (8) heures avant de commencer leur quart de travail.</w:t>
      </w:r>
    </w:p>
    <w:p w:rsidR="004C2D9C" w:rsidRDefault="004C2D9C">
      <w:pPr>
        <w:spacing w:after="160" w:line="259" w:lineRule="auto"/>
        <w:rPr>
          <w:rFonts w:asciiTheme="minorHAnsi" w:hAnsiTheme="minorHAnsi" w:cs="Tahoma"/>
          <w:b/>
          <w:color w:val="2F5496" w:themeColor="accent1" w:themeShade="BF"/>
          <w:lang w:eastAsia="fr-CA"/>
        </w:rPr>
      </w:pPr>
      <w:r>
        <w:rPr>
          <w:rFonts w:asciiTheme="minorHAnsi" w:hAnsiTheme="minorHAnsi" w:cs="Tahoma"/>
          <w:b/>
          <w:color w:val="2F5496" w:themeColor="accent1" w:themeShade="BF"/>
          <w:lang w:eastAsia="fr-CA"/>
        </w:rPr>
        <w:br w:type="page"/>
      </w:r>
    </w:p>
    <w:p w:rsidR="00CB48A6" w:rsidRDefault="00CB48A6" w:rsidP="00CB48A6">
      <w:pPr>
        <w:ind w:left="142"/>
        <w:jc w:val="both"/>
        <w:rPr>
          <w:rFonts w:asciiTheme="minorHAnsi" w:hAnsiTheme="minorHAnsi" w:cs="Tahoma"/>
          <w:b/>
          <w:color w:val="2F5496" w:themeColor="accent1" w:themeShade="BF"/>
          <w:lang w:eastAsia="fr-CA"/>
        </w:rPr>
      </w:pPr>
    </w:p>
    <w:p w:rsidR="00CB48A6" w:rsidRDefault="00CB48A6" w:rsidP="00CB48A6">
      <w:pPr>
        <w:ind w:left="142"/>
        <w:jc w:val="both"/>
        <w:rPr>
          <w:rFonts w:asciiTheme="minorHAnsi" w:hAnsiTheme="minorHAnsi" w:cstheme="minorHAnsi"/>
          <w:iCs/>
        </w:rPr>
      </w:pPr>
      <w:r>
        <w:rPr>
          <w:rFonts w:asciiTheme="minorHAnsi" w:hAnsiTheme="minorHAnsi" w:cstheme="minorHAnsi"/>
          <w:iCs/>
        </w:rPr>
        <w:t>Aussi</w:t>
      </w:r>
      <w:r w:rsidRPr="0096634D">
        <w:rPr>
          <w:rFonts w:asciiTheme="minorHAnsi" w:hAnsiTheme="minorHAnsi" w:cstheme="minorHAnsi"/>
          <w:iCs/>
        </w:rPr>
        <w:t xml:space="preserve">, il est strictement interdit </w:t>
      </w:r>
      <w:r>
        <w:rPr>
          <w:rFonts w:asciiTheme="minorHAnsi" w:hAnsiTheme="minorHAnsi" w:cstheme="minorHAnsi"/>
          <w:iCs/>
        </w:rPr>
        <w:t xml:space="preserve">pour tous les employés, quel que soit le poste qu’il occupe, </w:t>
      </w:r>
      <w:r w:rsidRPr="0096634D">
        <w:rPr>
          <w:rFonts w:asciiTheme="minorHAnsi" w:hAnsiTheme="minorHAnsi" w:cstheme="minorHAnsi"/>
          <w:iCs/>
        </w:rPr>
        <w:t>d</w:t>
      </w:r>
      <w:r>
        <w:rPr>
          <w:rFonts w:asciiTheme="minorHAnsi" w:hAnsiTheme="minorHAnsi" w:cstheme="minorHAnsi"/>
          <w:iCs/>
        </w:rPr>
        <w:t>e posséder,</w:t>
      </w:r>
      <w:r w:rsidRPr="0096634D">
        <w:rPr>
          <w:rFonts w:asciiTheme="minorHAnsi" w:hAnsiTheme="minorHAnsi" w:cstheme="minorHAnsi"/>
          <w:iCs/>
        </w:rPr>
        <w:t xml:space="preserve"> faire</w:t>
      </w:r>
      <w:r>
        <w:rPr>
          <w:rFonts w:asciiTheme="minorHAnsi" w:hAnsiTheme="minorHAnsi" w:cstheme="minorHAnsi"/>
          <w:iCs/>
        </w:rPr>
        <w:t xml:space="preserve"> la vente,</w:t>
      </w:r>
      <w:r w:rsidRPr="0096634D">
        <w:rPr>
          <w:rFonts w:asciiTheme="minorHAnsi" w:hAnsiTheme="minorHAnsi" w:cstheme="minorHAnsi"/>
          <w:iCs/>
        </w:rPr>
        <w:t xml:space="preserve"> le trafic ou la distribution</w:t>
      </w:r>
      <w:r>
        <w:rPr>
          <w:rFonts w:asciiTheme="minorHAnsi" w:hAnsiTheme="minorHAnsi" w:cstheme="minorHAnsi"/>
          <w:iCs/>
        </w:rPr>
        <w:t xml:space="preserve"> </w:t>
      </w:r>
      <w:r w:rsidRPr="0096634D">
        <w:rPr>
          <w:rFonts w:asciiTheme="minorHAnsi" w:hAnsiTheme="minorHAnsi" w:cstheme="minorHAnsi"/>
          <w:iCs/>
        </w:rPr>
        <w:t>d</w:t>
      </w:r>
      <w:r>
        <w:rPr>
          <w:rFonts w:asciiTheme="minorHAnsi" w:hAnsiTheme="minorHAnsi" w:cstheme="minorHAnsi"/>
          <w:iCs/>
        </w:rPr>
        <w:t xml:space="preserve">’alcool et de drogue, légale ou illicite, </w:t>
      </w:r>
      <w:r w:rsidRPr="0096634D">
        <w:rPr>
          <w:rFonts w:asciiTheme="minorHAnsi" w:hAnsiTheme="minorHAnsi" w:cstheme="minorHAnsi"/>
          <w:iCs/>
        </w:rPr>
        <w:t>sur les lieux de travail</w:t>
      </w:r>
      <w:r>
        <w:rPr>
          <w:rFonts w:asciiTheme="minorHAnsi" w:hAnsiTheme="minorHAnsi" w:cstheme="minorHAnsi"/>
          <w:iCs/>
        </w:rPr>
        <w:t xml:space="preserve">, </w:t>
      </w:r>
      <w:bookmarkStart w:id="1" w:name="_Hlk516207823"/>
      <w:r w:rsidRPr="002528B9">
        <w:rPr>
          <w:rFonts w:asciiTheme="minorHAnsi" w:hAnsiTheme="minorHAnsi" w:cstheme="minorHAnsi"/>
          <w:iCs/>
        </w:rPr>
        <w:t xml:space="preserve">à tout autre endroit où ils exercent leurs fonctions </w:t>
      </w:r>
      <w:bookmarkEnd w:id="1"/>
      <w:r w:rsidRPr="002528B9">
        <w:rPr>
          <w:rFonts w:asciiTheme="minorHAnsi" w:hAnsiTheme="minorHAnsi" w:cstheme="minorHAnsi"/>
          <w:iCs/>
        </w:rPr>
        <w:t xml:space="preserve">ou durant leur quart de travail, </w:t>
      </w:r>
      <w:r>
        <w:rPr>
          <w:rFonts w:asciiTheme="minorHAnsi" w:hAnsiTheme="minorHAnsi" w:cstheme="minorHAnsi"/>
          <w:iCs/>
        </w:rPr>
        <w:t xml:space="preserve">que ce soit des horaires </w:t>
      </w:r>
      <w:r w:rsidRPr="002528B9">
        <w:rPr>
          <w:rFonts w:asciiTheme="minorHAnsi" w:hAnsiTheme="minorHAnsi" w:cstheme="minorHAnsi"/>
          <w:iCs/>
        </w:rPr>
        <w:t>à l’heure ou en faction</w:t>
      </w:r>
      <w:r>
        <w:rPr>
          <w:rFonts w:asciiTheme="minorHAnsi" w:hAnsiTheme="minorHAnsi" w:cstheme="minorHAnsi"/>
          <w:iCs/>
        </w:rPr>
        <w:t xml:space="preserve">. Il est entendu que l’interdiction de posséder des médicaments ne concerne pas ceux prévus dans l’inventaire du véhicule </w:t>
      </w:r>
      <w:r w:rsidRPr="00B32554">
        <w:rPr>
          <w:rFonts w:asciiTheme="minorHAnsi" w:hAnsiTheme="minorHAnsi" w:cstheme="minorHAnsi"/>
          <w:iCs/>
        </w:rPr>
        <w:t>ambulancier</w:t>
      </w:r>
      <w:r>
        <w:rPr>
          <w:rFonts w:asciiTheme="minorHAnsi" w:hAnsiTheme="minorHAnsi" w:cstheme="minorHAnsi"/>
          <w:iCs/>
        </w:rPr>
        <w:t>,</w:t>
      </w:r>
      <w:r w:rsidRPr="00B32554">
        <w:rPr>
          <w:rFonts w:asciiTheme="minorHAnsi" w:hAnsiTheme="minorHAnsi" w:cstheme="minorHAnsi"/>
          <w:iCs/>
        </w:rPr>
        <w:t xml:space="preserve"> mais ceux-ci doivent être utilisés uniquement dans le cadre de vos fonctions et en conformité avec les politiques des CISSS/CIUSS et du MSSS et en respect de la loi réglementant certaines drogues et autres substances (LRCDAS) pour ce qui est des médicaments contrôlés contenus dans le coffret de sécurité du véhicule ambulancier (Ex</w:t>
      </w:r>
      <w:r>
        <w:rPr>
          <w:rFonts w:asciiTheme="minorHAnsi" w:hAnsiTheme="minorHAnsi" w:cstheme="minorHAnsi"/>
          <w:iCs/>
        </w:rPr>
        <w:t>.</w:t>
      </w:r>
      <w:r w:rsidRPr="00B32554">
        <w:rPr>
          <w:rFonts w:asciiTheme="minorHAnsi" w:hAnsiTheme="minorHAnsi" w:cstheme="minorHAnsi"/>
          <w:iCs/>
        </w:rPr>
        <w:t xml:space="preserve"> : fentanyl ou midazolam). Tout comme il est aussi entendu que l’interdiction de posséder de l’alcool à tout autre endroit où ils exercent </w:t>
      </w:r>
      <w:r w:rsidRPr="00790DA7">
        <w:rPr>
          <w:rFonts w:asciiTheme="minorHAnsi" w:hAnsiTheme="minorHAnsi" w:cstheme="minorHAnsi"/>
          <w:iCs/>
        </w:rPr>
        <w:t xml:space="preserve">leurs fonctions </w:t>
      </w:r>
      <w:r>
        <w:rPr>
          <w:rFonts w:asciiTheme="minorHAnsi" w:hAnsiTheme="minorHAnsi" w:cstheme="minorHAnsi"/>
          <w:iCs/>
        </w:rPr>
        <w:t>ne s’applique à la résidence de l’employé affecté à des horaires de faction qui est en attente des affectations à son domicile.</w:t>
      </w:r>
    </w:p>
    <w:p w:rsidR="00CB48A6" w:rsidRDefault="00CB48A6" w:rsidP="00CB48A6">
      <w:pPr>
        <w:ind w:left="142"/>
        <w:jc w:val="both"/>
        <w:rPr>
          <w:rFonts w:asciiTheme="minorHAnsi" w:hAnsiTheme="minorHAnsi" w:cs="Tahoma"/>
          <w:b/>
          <w:color w:val="2F5496" w:themeColor="accent1" w:themeShade="BF"/>
          <w:lang w:eastAsia="fr-CA"/>
        </w:rPr>
      </w:pPr>
    </w:p>
    <w:p w:rsidR="00CB48A6" w:rsidRDefault="00CB48A6" w:rsidP="00CB48A6">
      <w:pPr>
        <w:ind w:left="142"/>
        <w:jc w:val="both"/>
        <w:rPr>
          <w:rFonts w:asciiTheme="minorHAnsi" w:hAnsiTheme="minorHAnsi" w:cstheme="minorHAnsi"/>
          <w:iCs/>
          <w:lang w:eastAsia="en-US"/>
        </w:rPr>
      </w:pPr>
      <w:r w:rsidRPr="00F9751A">
        <w:rPr>
          <w:rFonts w:asciiTheme="minorHAnsi" w:hAnsiTheme="minorHAnsi" w:cs="Tahoma"/>
          <w:lang w:eastAsia="fr-CA"/>
        </w:rPr>
        <w:t xml:space="preserve">Un employé en uniforme ne doit ni acheter ni consommer d’alcool </w:t>
      </w:r>
      <w:r>
        <w:rPr>
          <w:rFonts w:asciiTheme="minorHAnsi" w:hAnsiTheme="minorHAnsi" w:cs="Tahoma"/>
          <w:lang w:eastAsia="fr-CA"/>
        </w:rPr>
        <w:t xml:space="preserve">ou de la drogue </w:t>
      </w:r>
      <w:r w:rsidRPr="00F9751A">
        <w:rPr>
          <w:rFonts w:asciiTheme="minorHAnsi" w:hAnsiTheme="minorHAnsi" w:cs="Tahoma"/>
          <w:lang w:eastAsia="fr-CA"/>
        </w:rPr>
        <w:t xml:space="preserve">en public. On considère qu’un employé est en uniforme </w:t>
      </w:r>
      <w:r w:rsidRPr="00B32554">
        <w:rPr>
          <w:rFonts w:asciiTheme="minorHAnsi" w:hAnsiTheme="minorHAnsi" w:cs="Tahoma"/>
          <w:lang w:eastAsia="fr-CA"/>
        </w:rPr>
        <w:t xml:space="preserve">lorsqu’il porte un élément de l’uniforme permettant d’identifier l’employeur ou d’identifier cet employé comme un TA/P.  </w:t>
      </w:r>
      <w:r w:rsidRPr="00B32554">
        <w:rPr>
          <w:rFonts w:asciiTheme="minorHAnsi" w:hAnsiTheme="minorHAnsi" w:cstheme="minorHAnsi"/>
          <w:iCs/>
        </w:rPr>
        <w:t xml:space="preserve">L’employé qui prend des médicaments prescrits par un médecin ou en vente libre doit s’assurer qu’il peut exercer ses fonctions sans danger et de manière sécuritaire. Dans le cas de prise de médicaments prescrits par un médecin qui sont susceptibles d’affecter les capacités, tant physiques que cognitives de l’employé, ce dernier devra en aviser son supérieur qui évaluera la situation en assurant la confidentialité des informations dans la mesure du possible. De plus, il devra sur demande présenter la preuve qu’il peut travailler sans danger, c’est-à-dire être </w:t>
      </w:r>
      <w:r w:rsidRPr="00F726B4">
        <w:rPr>
          <w:rFonts w:asciiTheme="minorHAnsi" w:hAnsiTheme="minorHAnsi" w:cstheme="minorHAnsi"/>
          <w:iCs/>
        </w:rPr>
        <w:t>apte à conduire et à exercer une vigilance clinique malgré la prise de ces médicaments.  Advenant le cas où l’employé ne peut exercer ses fonctions, il doit informer son superviseur et remettre un billet médical afin de justifier son absence du travail.</w:t>
      </w:r>
    </w:p>
    <w:p w:rsidR="00CB48A6" w:rsidRDefault="00CB48A6" w:rsidP="00CB48A6">
      <w:pPr>
        <w:spacing w:after="200" w:line="276" w:lineRule="auto"/>
        <w:ind w:left="142"/>
        <w:contextualSpacing/>
        <w:jc w:val="both"/>
        <w:rPr>
          <w:rFonts w:asciiTheme="minorHAnsi" w:hAnsiTheme="minorHAnsi" w:cstheme="minorHAnsi"/>
          <w:iCs/>
          <w:lang w:eastAsia="en-US"/>
        </w:rPr>
      </w:pPr>
    </w:p>
    <w:p w:rsidR="00CB48A6" w:rsidRDefault="00CB48A6" w:rsidP="00CB48A6">
      <w:pPr>
        <w:spacing w:after="200" w:line="276" w:lineRule="auto"/>
        <w:ind w:left="142"/>
        <w:contextualSpacing/>
        <w:jc w:val="both"/>
        <w:rPr>
          <w:rFonts w:asciiTheme="minorHAnsi" w:hAnsiTheme="minorHAnsi" w:cstheme="minorHAnsi"/>
          <w:iCs/>
          <w:u w:val="single"/>
          <w:lang w:eastAsia="en-US"/>
        </w:rPr>
      </w:pPr>
      <w:r w:rsidRPr="0096634D">
        <w:rPr>
          <w:rFonts w:asciiTheme="minorHAnsi" w:hAnsiTheme="minorHAnsi" w:cstheme="minorHAnsi"/>
          <w:iCs/>
          <w:lang w:eastAsia="en-US"/>
        </w:rPr>
        <w:t xml:space="preserve">La présente politique est d’application de </w:t>
      </w:r>
      <w:r w:rsidRPr="0096634D">
        <w:rPr>
          <w:rFonts w:asciiTheme="minorHAnsi" w:hAnsiTheme="minorHAnsi" w:cstheme="minorHAnsi"/>
          <w:b/>
          <w:iCs/>
          <w:u w:val="single"/>
          <w:lang w:eastAsia="en-US"/>
        </w:rPr>
        <w:t>TOLÉRANCE ZÉRO</w:t>
      </w:r>
      <w:r w:rsidRPr="0096634D">
        <w:rPr>
          <w:rFonts w:asciiTheme="minorHAnsi" w:hAnsiTheme="minorHAnsi" w:cstheme="minorHAnsi"/>
          <w:iCs/>
          <w:lang w:eastAsia="en-US"/>
        </w:rPr>
        <w:t xml:space="preserve">. </w:t>
      </w:r>
      <w:r w:rsidRPr="0096634D">
        <w:rPr>
          <w:rFonts w:asciiTheme="minorHAnsi" w:hAnsiTheme="minorHAnsi" w:cstheme="minorHAnsi"/>
          <w:b/>
          <w:iCs/>
          <w:u w:val="single"/>
          <w:lang w:eastAsia="en-US"/>
        </w:rPr>
        <w:t>AUCUN ÉCART</w:t>
      </w:r>
      <w:r w:rsidRPr="0096634D">
        <w:rPr>
          <w:rFonts w:asciiTheme="minorHAnsi" w:hAnsiTheme="minorHAnsi" w:cstheme="minorHAnsi"/>
          <w:iCs/>
          <w:u w:val="single"/>
          <w:lang w:eastAsia="en-US"/>
        </w:rPr>
        <w:t xml:space="preserve"> quant au respect de la politique ne sera toléré.</w:t>
      </w:r>
    </w:p>
    <w:p w:rsidR="00EB518F" w:rsidRDefault="00EB518F" w:rsidP="00EB518F">
      <w:pPr>
        <w:ind w:left="142"/>
        <w:rPr>
          <w:rFonts w:asciiTheme="minorHAnsi" w:hAnsiTheme="minorHAnsi" w:cs="Tahoma"/>
          <w:lang w:eastAsia="fr-CA"/>
        </w:rPr>
      </w:pPr>
    </w:p>
    <w:p w:rsidR="00AB51F7" w:rsidRPr="004A375A" w:rsidRDefault="00CB48A6" w:rsidP="00736264">
      <w:pPr>
        <w:pStyle w:val="Paragraphedeliste"/>
        <w:numPr>
          <w:ilvl w:val="0"/>
          <w:numId w:val="4"/>
        </w:numPr>
        <w:rPr>
          <w:rFonts w:asciiTheme="minorHAnsi" w:hAnsiTheme="minorHAnsi" w:cs="Tahoma"/>
          <w:b/>
          <w:color w:val="1F3864" w:themeColor="accent1" w:themeShade="80"/>
          <w:lang w:eastAsia="fr-CA"/>
        </w:rPr>
      </w:pPr>
      <w:r>
        <w:rPr>
          <w:rFonts w:asciiTheme="minorHAnsi" w:hAnsiTheme="minorHAnsi" w:cs="Tahoma"/>
          <w:b/>
          <w:color w:val="1F3864" w:themeColor="accent1" w:themeShade="80"/>
          <w:lang w:eastAsia="fr-CA"/>
        </w:rPr>
        <w:t>TEST DE DÉPISTAGE</w:t>
      </w:r>
    </w:p>
    <w:p w:rsidR="00320C01" w:rsidRDefault="00320C01" w:rsidP="00EB518F">
      <w:pPr>
        <w:pStyle w:val="Paragraphedeliste"/>
        <w:ind w:left="502"/>
        <w:jc w:val="both"/>
        <w:rPr>
          <w:rFonts w:asciiTheme="minorHAnsi" w:hAnsiTheme="minorHAnsi" w:cs="Tahoma"/>
          <w:b/>
          <w:color w:val="70AD47" w:themeColor="accent6"/>
          <w:lang w:eastAsia="fr-CA"/>
        </w:rPr>
      </w:pPr>
    </w:p>
    <w:p w:rsidR="00CB48A6" w:rsidRDefault="00CB48A6" w:rsidP="00CB48A6">
      <w:pPr>
        <w:ind w:left="142"/>
        <w:jc w:val="both"/>
        <w:rPr>
          <w:rFonts w:asciiTheme="minorHAnsi" w:hAnsiTheme="minorHAnsi" w:cs="Tahoma"/>
          <w:b/>
          <w:color w:val="2F5496" w:themeColor="accent1" w:themeShade="BF"/>
          <w:lang w:eastAsia="fr-CA"/>
        </w:rPr>
      </w:pPr>
      <w:r w:rsidRPr="0096634D">
        <w:rPr>
          <w:rFonts w:asciiTheme="minorHAnsi" w:hAnsiTheme="minorHAnsi" w:cstheme="minorHAnsi"/>
          <w:iCs/>
          <w:lang w:eastAsia="en-US"/>
        </w:rPr>
        <w:t>Si l’entreprise a des motifs raisonnables de croire qu’un employé s’est présenté au travail sous l’influence de l’alcool ou de la drogue, ce dernier pourra immédiatement être r</w:t>
      </w:r>
      <w:r>
        <w:rPr>
          <w:rFonts w:asciiTheme="minorHAnsi" w:hAnsiTheme="minorHAnsi" w:cstheme="minorHAnsi"/>
          <w:iCs/>
          <w:lang w:eastAsia="en-US"/>
        </w:rPr>
        <w:t>equis de</w:t>
      </w:r>
      <w:r w:rsidRPr="0096634D">
        <w:rPr>
          <w:rFonts w:asciiTheme="minorHAnsi" w:hAnsiTheme="minorHAnsi" w:cstheme="minorHAnsi"/>
          <w:iCs/>
          <w:lang w:eastAsia="en-US"/>
        </w:rPr>
        <w:t xml:space="preserve"> passer des tests d’alcoolémie et/ou de dépistage de drogues, le cas échéant, et sera suspendu de manière administrative, sans rémunération, pour le reste de la journée ou plus longtemps si nécessaire. De la même manière, si l’entreprise a des motifs raisonnables de croire qu’un employé s’est présenté au travail avec les facultés affaiblies par les médicaments, il pourra être suspendu de manière administrative, sans salaire.</w:t>
      </w:r>
    </w:p>
    <w:p w:rsidR="00CB48A6" w:rsidRDefault="00CB48A6" w:rsidP="00CB48A6">
      <w:pPr>
        <w:ind w:left="142"/>
        <w:jc w:val="both"/>
        <w:rPr>
          <w:rFonts w:asciiTheme="minorHAnsi" w:hAnsiTheme="minorHAnsi" w:cs="Tahoma"/>
          <w:b/>
          <w:color w:val="2F5496" w:themeColor="accent1" w:themeShade="BF"/>
          <w:lang w:eastAsia="fr-CA"/>
        </w:rPr>
      </w:pPr>
    </w:p>
    <w:p w:rsidR="00CB48A6" w:rsidRDefault="00CB48A6" w:rsidP="00CB48A6">
      <w:pPr>
        <w:ind w:left="142"/>
        <w:jc w:val="both"/>
        <w:rPr>
          <w:rFonts w:asciiTheme="minorHAnsi" w:hAnsiTheme="minorHAnsi" w:cs="Tahoma"/>
          <w:b/>
          <w:color w:val="2F5496" w:themeColor="accent1" w:themeShade="BF"/>
          <w:lang w:eastAsia="fr-CA"/>
        </w:rPr>
      </w:pPr>
      <w:r w:rsidRPr="0096634D">
        <w:rPr>
          <w:rFonts w:asciiTheme="minorHAnsi" w:hAnsiTheme="minorHAnsi" w:cstheme="minorHAnsi"/>
          <w:iCs/>
          <w:lang w:eastAsia="en-US"/>
        </w:rPr>
        <w:t>Comme condition de retour au travail, selon la nature du poste qu’il occupe, l’employé peut se voir préalablement imposer un test d’alcoolémie ou de dépistage de drogue.</w:t>
      </w:r>
    </w:p>
    <w:p w:rsidR="004C2D9C" w:rsidRDefault="004C2D9C">
      <w:pPr>
        <w:spacing w:after="160" w:line="259" w:lineRule="auto"/>
        <w:rPr>
          <w:rFonts w:asciiTheme="minorHAnsi" w:hAnsiTheme="minorHAnsi" w:cs="Tahoma"/>
          <w:b/>
          <w:color w:val="2F5496" w:themeColor="accent1" w:themeShade="BF"/>
          <w:lang w:eastAsia="fr-CA"/>
        </w:rPr>
      </w:pPr>
      <w:r>
        <w:rPr>
          <w:rFonts w:asciiTheme="minorHAnsi" w:hAnsiTheme="minorHAnsi" w:cs="Tahoma"/>
          <w:b/>
          <w:color w:val="2F5496" w:themeColor="accent1" w:themeShade="BF"/>
          <w:lang w:eastAsia="fr-CA"/>
        </w:rPr>
        <w:br w:type="page"/>
      </w:r>
    </w:p>
    <w:p w:rsidR="00CB48A6" w:rsidRDefault="00CB48A6" w:rsidP="00CB48A6">
      <w:pPr>
        <w:ind w:left="142"/>
        <w:jc w:val="both"/>
        <w:rPr>
          <w:rFonts w:asciiTheme="minorHAnsi" w:hAnsiTheme="minorHAnsi" w:cs="Tahoma"/>
          <w:b/>
          <w:color w:val="2F5496" w:themeColor="accent1" w:themeShade="BF"/>
          <w:lang w:eastAsia="fr-CA"/>
        </w:rPr>
      </w:pPr>
      <w:bookmarkStart w:id="2" w:name="_GoBack"/>
      <w:bookmarkEnd w:id="2"/>
    </w:p>
    <w:p w:rsidR="00CB48A6" w:rsidRPr="00B32554" w:rsidRDefault="00CB48A6" w:rsidP="00CB48A6">
      <w:pPr>
        <w:ind w:left="142"/>
        <w:jc w:val="both"/>
        <w:rPr>
          <w:rFonts w:asciiTheme="minorHAnsi" w:hAnsiTheme="minorHAnsi" w:cs="Tahoma"/>
          <w:b/>
          <w:lang w:eastAsia="fr-CA"/>
        </w:rPr>
      </w:pPr>
      <w:r w:rsidRPr="0096634D">
        <w:rPr>
          <w:rFonts w:asciiTheme="minorHAnsi" w:hAnsiTheme="minorHAnsi" w:cstheme="minorHAnsi"/>
          <w:iCs/>
          <w:lang w:eastAsia="en-US"/>
        </w:rPr>
        <w:t>Par définition, «</w:t>
      </w:r>
      <w:r>
        <w:rPr>
          <w:rFonts w:asciiTheme="minorHAnsi" w:hAnsiTheme="minorHAnsi" w:cstheme="minorHAnsi"/>
          <w:iCs/>
          <w:lang w:eastAsia="en-US"/>
        </w:rPr>
        <w:t> </w:t>
      </w:r>
      <w:r w:rsidRPr="0096634D">
        <w:rPr>
          <w:rFonts w:asciiTheme="minorHAnsi" w:hAnsiTheme="minorHAnsi" w:cstheme="minorHAnsi"/>
          <w:iCs/>
          <w:lang w:eastAsia="en-US"/>
        </w:rPr>
        <w:t>facultés affaiblies</w:t>
      </w:r>
      <w:r>
        <w:rPr>
          <w:rFonts w:asciiTheme="minorHAnsi" w:hAnsiTheme="minorHAnsi" w:cstheme="minorHAnsi"/>
          <w:iCs/>
          <w:lang w:eastAsia="en-US"/>
        </w:rPr>
        <w:t> </w:t>
      </w:r>
      <w:r w:rsidRPr="0096634D">
        <w:rPr>
          <w:rFonts w:asciiTheme="minorHAnsi" w:hAnsiTheme="minorHAnsi" w:cstheme="minorHAnsi"/>
          <w:iCs/>
          <w:lang w:eastAsia="en-US"/>
        </w:rPr>
        <w:t xml:space="preserve">» signifie l’usage d’un ou plusieurs </w:t>
      </w:r>
      <w:r w:rsidRPr="00B32554">
        <w:rPr>
          <w:rFonts w:asciiTheme="minorHAnsi" w:hAnsiTheme="minorHAnsi" w:cstheme="minorHAnsi"/>
          <w:iCs/>
          <w:lang w:eastAsia="en-US"/>
        </w:rPr>
        <w:t>médicaments, en quantité prescrite ou non telle que l’employé :</w:t>
      </w:r>
    </w:p>
    <w:p w:rsidR="00CB48A6" w:rsidRPr="0096634D" w:rsidRDefault="00CB48A6" w:rsidP="00CB48A6">
      <w:pPr>
        <w:jc w:val="both"/>
        <w:rPr>
          <w:rFonts w:asciiTheme="minorHAnsi" w:hAnsiTheme="minorHAnsi" w:cstheme="minorHAnsi"/>
          <w:iCs/>
          <w:lang w:eastAsia="en-US"/>
        </w:rPr>
      </w:pPr>
    </w:p>
    <w:p w:rsidR="00CB48A6" w:rsidRPr="0096634D" w:rsidRDefault="00CB48A6" w:rsidP="00CB48A6">
      <w:pPr>
        <w:numPr>
          <w:ilvl w:val="0"/>
          <w:numId w:val="25"/>
        </w:numPr>
        <w:spacing w:after="200" w:line="276" w:lineRule="auto"/>
        <w:contextualSpacing/>
        <w:jc w:val="both"/>
        <w:rPr>
          <w:rFonts w:asciiTheme="minorHAnsi" w:hAnsiTheme="minorHAnsi" w:cstheme="minorHAnsi"/>
          <w:iCs/>
          <w:lang w:eastAsia="en-US"/>
        </w:rPr>
      </w:pPr>
      <w:proofErr w:type="gramStart"/>
      <w:r w:rsidRPr="0096634D">
        <w:rPr>
          <w:rFonts w:asciiTheme="minorHAnsi" w:hAnsiTheme="minorHAnsi" w:cstheme="minorHAnsi"/>
          <w:iCs/>
          <w:lang w:eastAsia="en-US"/>
        </w:rPr>
        <w:t>est</w:t>
      </w:r>
      <w:proofErr w:type="gramEnd"/>
      <w:r w:rsidRPr="0096634D">
        <w:rPr>
          <w:rFonts w:asciiTheme="minorHAnsi" w:hAnsiTheme="minorHAnsi" w:cstheme="minorHAnsi"/>
          <w:iCs/>
          <w:lang w:eastAsia="en-US"/>
        </w:rPr>
        <w:t xml:space="preserve"> incapable de fonctionner de façon sécuritaire </w:t>
      </w:r>
      <w:r>
        <w:rPr>
          <w:rFonts w:asciiTheme="minorHAnsi" w:hAnsiTheme="minorHAnsi" w:cstheme="minorHAnsi"/>
          <w:iCs/>
          <w:lang w:eastAsia="en-US"/>
        </w:rPr>
        <w:t xml:space="preserve">pour lui-même, </w:t>
      </w:r>
      <w:bookmarkStart w:id="3" w:name="_Hlk516206029"/>
      <w:r>
        <w:rPr>
          <w:rFonts w:asciiTheme="minorHAnsi" w:hAnsiTheme="minorHAnsi" w:cstheme="minorHAnsi"/>
          <w:iCs/>
          <w:lang w:eastAsia="en-US"/>
        </w:rPr>
        <w:t>ses collègues de travail, les patients pris en charge ou la population en générale</w:t>
      </w:r>
      <w:bookmarkEnd w:id="3"/>
      <w:r>
        <w:rPr>
          <w:rFonts w:asciiTheme="minorHAnsi" w:hAnsiTheme="minorHAnsi" w:cstheme="minorHAnsi"/>
          <w:iCs/>
          <w:lang w:eastAsia="en-US"/>
        </w:rPr>
        <w:t> </w:t>
      </w:r>
      <w:r w:rsidRPr="0096634D">
        <w:rPr>
          <w:rFonts w:asciiTheme="minorHAnsi" w:hAnsiTheme="minorHAnsi" w:cstheme="minorHAnsi"/>
          <w:iCs/>
          <w:lang w:eastAsia="en-US"/>
        </w:rPr>
        <w:t>;</w:t>
      </w:r>
    </w:p>
    <w:p w:rsidR="00CB48A6" w:rsidRPr="0096634D" w:rsidRDefault="00CB48A6" w:rsidP="00CB48A6">
      <w:pPr>
        <w:numPr>
          <w:ilvl w:val="0"/>
          <w:numId w:val="25"/>
        </w:numPr>
        <w:spacing w:after="200" w:line="276" w:lineRule="auto"/>
        <w:contextualSpacing/>
        <w:jc w:val="both"/>
        <w:rPr>
          <w:rFonts w:asciiTheme="minorHAnsi" w:hAnsiTheme="minorHAnsi" w:cstheme="minorHAnsi"/>
          <w:iCs/>
          <w:lang w:eastAsia="en-US"/>
        </w:rPr>
      </w:pPr>
      <w:proofErr w:type="gramStart"/>
      <w:r w:rsidRPr="0096634D">
        <w:rPr>
          <w:rFonts w:asciiTheme="minorHAnsi" w:hAnsiTheme="minorHAnsi" w:cstheme="minorHAnsi"/>
          <w:iCs/>
          <w:lang w:eastAsia="en-US"/>
        </w:rPr>
        <w:t>est</w:t>
      </w:r>
      <w:proofErr w:type="gramEnd"/>
      <w:r w:rsidRPr="0096634D">
        <w:rPr>
          <w:rFonts w:asciiTheme="minorHAnsi" w:hAnsiTheme="minorHAnsi" w:cstheme="minorHAnsi"/>
          <w:iCs/>
          <w:lang w:eastAsia="en-US"/>
        </w:rPr>
        <w:t xml:space="preserve"> dans un état physique ou mental qui constitue un risque pour </w:t>
      </w:r>
      <w:r>
        <w:rPr>
          <w:rFonts w:asciiTheme="minorHAnsi" w:hAnsiTheme="minorHAnsi" w:cstheme="minorHAnsi"/>
          <w:iCs/>
          <w:lang w:eastAsia="en-US"/>
        </w:rPr>
        <w:t>s</w:t>
      </w:r>
      <w:r w:rsidRPr="0096634D">
        <w:rPr>
          <w:rFonts w:asciiTheme="minorHAnsi" w:hAnsiTheme="minorHAnsi" w:cstheme="minorHAnsi"/>
          <w:iCs/>
          <w:lang w:eastAsia="en-US"/>
        </w:rPr>
        <w:t>a sécurité</w:t>
      </w:r>
      <w:r>
        <w:rPr>
          <w:rFonts w:asciiTheme="minorHAnsi" w:hAnsiTheme="minorHAnsi" w:cstheme="minorHAnsi"/>
          <w:iCs/>
          <w:lang w:eastAsia="en-US"/>
        </w:rPr>
        <w:t>, la sécurité</w:t>
      </w:r>
      <w:r w:rsidRPr="0096634D">
        <w:rPr>
          <w:rFonts w:asciiTheme="minorHAnsi" w:hAnsiTheme="minorHAnsi" w:cstheme="minorHAnsi"/>
          <w:iCs/>
          <w:lang w:eastAsia="en-US"/>
        </w:rPr>
        <w:t xml:space="preserve"> </w:t>
      </w:r>
      <w:r>
        <w:rPr>
          <w:rFonts w:asciiTheme="minorHAnsi" w:hAnsiTheme="minorHAnsi" w:cstheme="minorHAnsi"/>
          <w:iCs/>
          <w:lang w:eastAsia="en-US"/>
        </w:rPr>
        <w:t xml:space="preserve">de </w:t>
      </w:r>
      <w:r w:rsidRPr="000324A6">
        <w:rPr>
          <w:rFonts w:asciiTheme="minorHAnsi" w:hAnsiTheme="minorHAnsi" w:cstheme="minorHAnsi"/>
          <w:iCs/>
          <w:lang w:eastAsia="en-US"/>
        </w:rPr>
        <w:t xml:space="preserve">ses collègues de travail, les patients pris en charge ou la population en générale </w:t>
      </w:r>
      <w:r w:rsidRPr="0096634D">
        <w:rPr>
          <w:rFonts w:asciiTheme="minorHAnsi" w:hAnsiTheme="minorHAnsi" w:cstheme="minorHAnsi"/>
          <w:iCs/>
          <w:lang w:eastAsia="en-US"/>
        </w:rPr>
        <w:t>ou</w:t>
      </w:r>
      <w:r>
        <w:rPr>
          <w:rFonts w:asciiTheme="minorHAnsi" w:hAnsiTheme="minorHAnsi" w:cstheme="minorHAnsi"/>
          <w:iCs/>
          <w:lang w:eastAsia="en-US"/>
        </w:rPr>
        <w:t xml:space="preserve"> encore</w:t>
      </w:r>
      <w:r w:rsidRPr="0096634D">
        <w:rPr>
          <w:rFonts w:asciiTheme="minorHAnsi" w:hAnsiTheme="minorHAnsi" w:cstheme="minorHAnsi"/>
          <w:iCs/>
          <w:lang w:eastAsia="en-US"/>
        </w:rPr>
        <w:t xml:space="preserve"> pour la sécurité des biens de </w:t>
      </w:r>
      <w:r>
        <w:rPr>
          <w:rFonts w:asciiTheme="minorHAnsi" w:hAnsiTheme="minorHAnsi" w:cstheme="minorHAnsi"/>
          <w:iCs/>
          <w:lang w:eastAsia="en-US"/>
        </w:rPr>
        <w:t>la Compagnie </w:t>
      </w:r>
      <w:r w:rsidRPr="0096634D">
        <w:rPr>
          <w:rFonts w:asciiTheme="minorHAnsi" w:hAnsiTheme="minorHAnsi" w:cstheme="minorHAnsi"/>
          <w:iCs/>
          <w:lang w:eastAsia="en-US"/>
        </w:rPr>
        <w:t>; ou</w:t>
      </w:r>
    </w:p>
    <w:p w:rsidR="00CB48A6" w:rsidRDefault="00CB48A6" w:rsidP="00CB48A6">
      <w:pPr>
        <w:numPr>
          <w:ilvl w:val="0"/>
          <w:numId w:val="25"/>
        </w:numPr>
        <w:spacing w:after="200" w:line="276" w:lineRule="auto"/>
        <w:contextualSpacing/>
        <w:jc w:val="both"/>
        <w:rPr>
          <w:rFonts w:asciiTheme="minorHAnsi" w:hAnsiTheme="minorHAnsi" w:cstheme="minorHAnsi"/>
          <w:iCs/>
          <w:lang w:eastAsia="en-US"/>
        </w:rPr>
      </w:pPr>
      <w:proofErr w:type="gramStart"/>
      <w:r w:rsidRPr="0096634D">
        <w:rPr>
          <w:rFonts w:asciiTheme="minorHAnsi" w:hAnsiTheme="minorHAnsi" w:cstheme="minorHAnsi"/>
          <w:iCs/>
          <w:lang w:eastAsia="en-US"/>
        </w:rPr>
        <w:t>présente</w:t>
      </w:r>
      <w:proofErr w:type="gramEnd"/>
      <w:r w:rsidRPr="0096634D">
        <w:rPr>
          <w:rFonts w:asciiTheme="minorHAnsi" w:hAnsiTheme="minorHAnsi" w:cstheme="minorHAnsi"/>
          <w:iCs/>
          <w:lang w:eastAsia="en-US"/>
        </w:rPr>
        <w:t xml:space="preserve"> dans son organisme une </w:t>
      </w:r>
      <w:r w:rsidRPr="00B32554">
        <w:rPr>
          <w:rFonts w:asciiTheme="minorHAnsi" w:hAnsiTheme="minorHAnsi" w:cstheme="minorHAnsi"/>
          <w:iCs/>
          <w:lang w:eastAsia="en-US"/>
        </w:rPr>
        <w:t xml:space="preserve">concentration pour certains médicaments qui dépasse l’écart thérapeutique accepté pour déterminer que </w:t>
      </w:r>
      <w:r w:rsidRPr="0096634D">
        <w:rPr>
          <w:rFonts w:asciiTheme="minorHAnsi" w:hAnsiTheme="minorHAnsi" w:cstheme="minorHAnsi"/>
          <w:iCs/>
          <w:lang w:eastAsia="en-US"/>
        </w:rPr>
        <w:t>les facultés sont affaiblies.</w:t>
      </w:r>
    </w:p>
    <w:p w:rsidR="00EB518F" w:rsidRDefault="00EB518F" w:rsidP="00EB518F">
      <w:pPr>
        <w:pStyle w:val="Corpsdetexte"/>
        <w:spacing w:after="0"/>
        <w:jc w:val="both"/>
        <w:rPr>
          <w:rFonts w:asciiTheme="minorHAnsi" w:hAnsiTheme="minorHAnsi"/>
          <w:lang w:eastAsia="fr-CA"/>
        </w:rPr>
      </w:pPr>
    </w:p>
    <w:p w:rsidR="00736264" w:rsidRPr="004A375A" w:rsidRDefault="00CB48A6" w:rsidP="00736264">
      <w:pPr>
        <w:pStyle w:val="Corpsdetexte"/>
        <w:numPr>
          <w:ilvl w:val="0"/>
          <w:numId w:val="4"/>
        </w:numPr>
        <w:spacing w:after="0"/>
        <w:rPr>
          <w:rFonts w:asciiTheme="minorHAnsi" w:hAnsiTheme="minorHAnsi"/>
          <w:b/>
          <w:color w:val="1F3864" w:themeColor="accent1" w:themeShade="80"/>
        </w:rPr>
      </w:pPr>
      <w:r>
        <w:rPr>
          <w:rFonts w:asciiTheme="minorHAnsi" w:hAnsiTheme="minorHAnsi"/>
          <w:b/>
          <w:color w:val="1F3864" w:themeColor="accent1" w:themeShade="80"/>
          <w:lang w:eastAsia="fr-CA"/>
        </w:rPr>
        <w:t>ACCOMPAGNEMENT DES EMPLOYÉS SOUFFRANT D’UNE DÉPENDANCE</w:t>
      </w:r>
    </w:p>
    <w:p w:rsidR="00320C01" w:rsidRPr="00736264" w:rsidRDefault="00320C01" w:rsidP="00320C01">
      <w:pPr>
        <w:pStyle w:val="Corpsdetexte"/>
        <w:spacing w:after="0"/>
        <w:ind w:left="502"/>
        <w:rPr>
          <w:rFonts w:asciiTheme="minorHAnsi" w:hAnsiTheme="minorHAnsi"/>
          <w:b/>
          <w:color w:val="70AD47" w:themeColor="accent6"/>
        </w:rPr>
      </w:pPr>
    </w:p>
    <w:p w:rsidR="00CB48A6" w:rsidRPr="00A6022F" w:rsidRDefault="00CB48A6" w:rsidP="00CB48A6">
      <w:pPr>
        <w:spacing w:after="200" w:line="276" w:lineRule="auto"/>
        <w:ind w:left="142"/>
        <w:jc w:val="both"/>
        <w:rPr>
          <w:rFonts w:asciiTheme="minorHAnsi" w:hAnsiTheme="minorHAnsi" w:cstheme="minorHAnsi"/>
          <w:iCs/>
        </w:rPr>
      </w:pPr>
      <w:r w:rsidRPr="00AF62A3">
        <w:rPr>
          <w:rFonts w:asciiTheme="minorHAnsi" w:hAnsiTheme="minorHAnsi" w:cstheme="minorHAnsi"/>
          <w:iCs/>
        </w:rPr>
        <w:t xml:space="preserve">L’employé ayant une dépendance à l’alcool, </w:t>
      </w:r>
      <w:bookmarkStart w:id="4" w:name="_Hlk513695204"/>
      <w:r w:rsidRPr="00AF62A3">
        <w:rPr>
          <w:rFonts w:asciiTheme="minorHAnsi" w:hAnsiTheme="minorHAnsi" w:cstheme="minorHAnsi"/>
          <w:iCs/>
        </w:rPr>
        <w:t xml:space="preserve">aux drogues, légales ou illicites ou aux médicaments </w:t>
      </w:r>
      <w:bookmarkEnd w:id="4"/>
      <w:r w:rsidRPr="00AF62A3">
        <w:rPr>
          <w:rFonts w:asciiTheme="minorHAnsi" w:hAnsiTheme="minorHAnsi" w:cstheme="minorHAnsi"/>
          <w:iCs/>
        </w:rPr>
        <w:t xml:space="preserve">quel qu’il soit, a l’obligation de divulguer cette dépendance en avisant son superviseur. L’entreprise prendra alors des mesures raisonnables afin de venir en aide à cet employé. </w:t>
      </w:r>
    </w:p>
    <w:p w:rsidR="00F42865" w:rsidRPr="004A375A" w:rsidRDefault="00CB48A6" w:rsidP="00F42865">
      <w:pPr>
        <w:pStyle w:val="Paragraphedeliste"/>
        <w:numPr>
          <w:ilvl w:val="0"/>
          <w:numId w:val="4"/>
        </w:numPr>
        <w:rPr>
          <w:rFonts w:asciiTheme="minorHAnsi" w:hAnsiTheme="minorHAnsi" w:cs="Tahoma"/>
          <w:b/>
          <w:color w:val="1F3864" w:themeColor="accent1" w:themeShade="80"/>
          <w:lang w:eastAsia="fr-CA"/>
        </w:rPr>
      </w:pPr>
      <w:r>
        <w:rPr>
          <w:rFonts w:asciiTheme="minorHAnsi" w:hAnsiTheme="minorHAnsi" w:cs="Tahoma"/>
          <w:b/>
          <w:color w:val="1F3864" w:themeColor="accent1" w:themeShade="80"/>
          <w:lang w:eastAsia="fr-CA"/>
        </w:rPr>
        <w:t>MESURES DISCIPLINAIRES ET/OU ENQUÊTE POLICIÈRE</w:t>
      </w:r>
    </w:p>
    <w:p w:rsidR="00971088" w:rsidRDefault="00971088" w:rsidP="00971088">
      <w:pPr>
        <w:pStyle w:val="Paragraphedeliste"/>
        <w:ind w:left="502"/>
        <w:rPr>
          <w:rFonts w:asciiTheme="minorHAnsi" w:hAnsiTheme="minorHAnsi" w:cs="Tahoma"/>
          <w:b/>
          <w:color w:val="2F5496" w:themeColor="accent1" w:themeShade="BF"/>
          <w:lang w:eastAsia="fr-CA"/>
        </w:rPr>
      </w:pPr>
    </w:p>
    <w:p w:rsidR="004C2D9C" w:rsidRPr="00B32554" w:rsidRDefault="004C2D9C" w:rsidP="004C2D9C">
      <w:pPr>
        <w:spacing w:after="200" w:line="276" w:lineRule="auto"/>
        <w:ind w:left="142"/>
        <w:contextualSpacing/>
        <w:jc w:val="both"/>
        <w:rPr>
          <w:rFonts w:asciiTheme="minorHAnsi" w:hAnsiTheme="minorHAnsi" w:cstheme="minorHAnsi"/>
          <w:iCs/>
          <w:lang w:eastAsia="en-US"/>
        </w:rPr>
      </w:pPr>
      <w:r w:rsidRPr="00B32554">
        <w:rPr>
          <w:rFonts w:asciiTheme="minorHAnsi" w:hAnsiTheme="minorHAnsi" w:cstheme="minorHAnsi"/>
          <w:iCs/>
          <w:lang w:eastAsia="en-US"/>
        </w:rPr>
        <w:t xml:space="preserve">Toute infraction, non-respect ou accro à la présente politique sera sévèrement puni et l’employé s’expose à des </w:t>
      </w:r>
      <w:r w:rsidRPr="00B32554">
        <w:rPr>
          <w:rFonts w:asciiTheme="minorHAnsi" w:hAnsiTheme="minorHAnsi" w:cstheme="minorHAnsi"/>
          <w:iCs/>
          <w:u w:val="single"/>
          <w:lang w:eastAsia="en-US"/>
        </w:rPr>
        <w:t>mesures disciplinaires pouvant aller jusqu’au congédiement</w:t>
      </w:r>
      <w:r w:rsidRPr="00B32554">
        <w:rPr>
          <w:rFonts w:asciiTheme="minorHAnsi" w:hAnsiTheme="minorHAnsi" w:cstheme="minorHAnsi"/>
          <w:iCs/>
          <w:lang w:eastAsia="en-US"/>
        </w:rPr>
        <w:t>. L’employeur pourra dans le cas d’une infraction ou d’un acte criminel relatif à l’alcool ou aux drogues commis sur les lieux de travail ou dans le cadre de vos fonctions référer l’enquête aux services de police.</w:t>
      </w:r>
    </w:p>
    <w:p w:rsidR="00EB518F" w:rsidRPr="00971088" w:rsidRDefault="00EB518F" w:rsidP="00EB518F">
      <w:pPr>
        <w:ind w:left="142"/>
        <w:jc w:val="both"/>
        <w:rPr>
          <w:rFonts w:asciiTheme="minorHAnsi" w:hAnsiTheme="minorHAnsi" w:cs="Tahoma"/>
          <w:lang w:eastAsia="fr-CA"/>
        </w:rPr>
      </w:pPr>
    </w:p>
    <w:sectPr w:rsidR="00EB518F" w:rsidRPr="00971088" w:rsidSect="004C2D9C">
      <w:footerReference w:type="default" r:id="rId7"/>
      <w:pgSz w:w="12240" w:h="15840"/>
      <w:pgMar w:top="851" w:right="1418" w:bottom="1276" w:left="1276"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AB" w:rsidRDefault="00393EAB" w:rsidP="00CB4495">
      <w:r>
        <w:separator/>
      </w:r>
    </w:p>
  </w:endnote>
  <w:endnote w:type="continuationSeparator" w:id="0">
    <w:p w:rsidR="00393EAB" w:rsidRDefault="00393EAB" w:rsidP="00CB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327" w:rsidRPr="00F6017E" w:rsidRDefault="00F6017E" w:rsidP="00F6017E">
    <w:pPr>
      <w:pStyle w:val="Pieddepage"/>
      <w:pBdr>
        <w:top w:val="single" w:sz="4" w:space="1" w:color="auto"/>
      </w:pBdr>
      <w:tabs>
        <w:tab w:val="clear" w:pos="8640"/>
      </w:tabs>
      <w:rPr>
        <w:rFonts w:asciiTheme="minorHAnsi" w:hAnsiTheme="minorHAnsi"/>
        <w:i/>
        <w:position w:val="36"/>
        <w:sz w:val="20"/>
        <w:szCs w:val="20"/>
      </w:rPr>
    </w:pPr>
    <w:r w:rsidRPr="00277E34">
      <w:rPr>
        <w:noProof/>
        <w:lang w:eastAsia="fr-CA"/>
      </w:rPr>
      <w:drawing>
        <wp:inline distT="0" distB="0" distL="0" distR="0" wp14:anchorId="5933F958" wp14:editId="39F1974F">
          <wp:extent cx="617102" cy="320633"/>
          <wp:effectExtent l="0" t="0" r="0" b="3810"/>
          <wp:docPr id="1" name="Image 1" descr="G:\RESSOURCES HUMAINES\GABARITS\Signature Cambi 2016\option droite\Cambi2016_finale_dr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SOURCES HUMAINES\GABARITS\Signature Cambi 2016\option droite\Cambi2016_finale_dro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762" cy="332407"/>
                  </a:xfrm>
                  <a:prstGeom prst="rect">
                    <a:avLst/>
                  </a:prstGeom>
                  <a:noFill/>
                  <a:ln>
                    <a:noFill/>
                  </a:ln>
                </pic:spPr>
              </pic:pic>
            </a:graphicData>
          </a:graphic>
        </wp:inline>
      </w:drawing>
    </w:r>
    <w:r w:rsidRPr="005F1327">
      <w:tab/>
    </w:r>
    <w:r w:rsidRPr="005F1327">
      <w:tab/>
      <w:t xml:space="preserve">                             </w:t>
    </w:r>
    <w:r>
      <w:t xml:space="preserve">       </w:t>
    </w:r>
    <w:r>
      <w:rPr>
        <w:rFonts w:asciiTheme="minorHAnsi" w:hAnsiTheme="minorHAnsi"/>
        <w:i/>
        <w:position w:val="36"/>
        <w:sz w:val="16"/>
        <w:szCs w:val="16"/>
      </w:rPr>
      <w:t xml:space="preserve">                              Cahier d’intégration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AB" w:rsidRDefault="00393EAB" w:rsidP="00CB4495">
      <w:r>
        <w:separator/>
      </w:r>
    </w:p>
  </w:footnote>
  <w:footnote w:type="continuationSeparator" w:id="0">
    <w:p w:rsidR="00393EAB" w:rsidRDefault="00393EAB" w:rsidP="00CB4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DA6"/>
    <w:multiLevelType w:val="hybridMultilevel"/>
    <w:tmpl w:val="C3CE36A2"/>
    <w:lvl w:ilvl="0" w:tplc="70D4FE2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85FD6"/>
    <w:multiLevelType w:val="hybridMultilevel"/>
    <w:tmpl w:val="A4D4D4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A4790F"/>
    <w:multiLevelType w:val="hybridMultilevel"/>
    <w:tmpl w:val="03D445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052F9E"/>
    <w:multiLevelType w:val="hybridMultilevel"/>
    <w:tmpl w:val="1F94D66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9324BE3"/>
    <w:multiLevelType w:val="hybridMultilevel"/>
    <w:tmpl w:val="E6029C5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19E6309B"/>
    <w:multiLevelType w:val="hybridMultilevel"/>
    <w:tmpl w:val="D430AC5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005263"/>
    <w:multiLevelType w:val="hybridMultilevel"/>
    <w:tmpl w:val="BD782A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D577D8"/>
    <w:multiLevelType w:val="hybridMultilevel"/>
    <w:tmpl w:val="E6029C5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7E10D88"/>
    <w:multiLevelType w:val="hybridMultilevel"/>
    <w:tmpl w:val="B5CE2F7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0B30B20"/>
    <w:multiLevelType w:val="hybridMultilevel"/>
    <w:tmpl w:val="DEAABF5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5541E31"/>
    <w:multiLevelType w:val="hybridMultilevel"/>
    <w:tmpl w:val="CD188790"/>
    <w:lvl w:ilvl="0" w:tplc="3F3C5E5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9B63F5B"/>
    <w:multiLevelType w:val="hybridMultilevel"/>
    <w:tmpl w:val="1D0802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0B932C6"/>
    <w:multiLevelType w:val="hybridMultilevel"/>
    <w:tmpl w:val="26222E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EF1B2F"/>
    <w:multiLevelType w:val="hybridMultilevel"/>
    <w:tmpl w:val="369E9D42"/>
    <w:lvl w:ilvl="0" w:tplc="0C0C0017">
      <w:start w:val="1"/>
      <w:numFmt w:val="lowerLetter"/>
      <w:lvlText w:val="%1)"/>
      <w:lvlJc w:val="left"/>
      <w:pPr>
        <w:ind w:left="720" w:hanging="360"/>
      </w:pPr>
      <w:rPr>
        <w:sz w:val="2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48E258F7"/>
    <w:multiLevelType w:val="hybridMultilevel"/>
    <w:tmpl w:val="6F101E58"/>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52C3372"/>
    <w:multiLevelType w:val="hybridMultilevel"/>
    <w:tmpl w:val="9A6EDD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09F0AD3"/>
    <w:multiLevelType w:val="hybridMultilevel"/>
    <w:tmpl w:val="E6029C5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61C05582"/>
    <w:multiLevelType w:val="hybridMultilevel"/>
    <w:tmpl w:val="27DCA8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0F2895"/>
    <w:multiLevelType w:val="multilevel"/>
    <w:tmpl w:val="E7089E42"/>
    <w:lvl w:ilvl="0">
      <w:start w:val="1"/>
      <w:numFmt w:val="decimal"/>
      <w:lvlText w:val="%1."/>
      <w:lvlJc w:val="left"/>
      <w:pPr>
        <w:ind w:left="502" w:hanging="360"/>
      </w:pPr>
      <w:rPr>
        <w:rFonts w:hint="default"/>
        <w:color w:val="1F3864" w:themeColor="accent1"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9" w15:restartNumberingAfterBreak="0">
    <w:nsid w:val="69EA7F70"/>
    <w:multiLevelType w:val="hybridMultilevel"/>
    <w:tmpl w:val="8BFCD0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16B69F6"/>
    <w:multiLevelType w:val="hybridMultilevel"/>
    <w:tmpl w:val="BB0A2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3E721B"/>
    <w:multiLevelType w:val="hybridMultilevel"/>
    <w:tmpl w:val="A6604D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7A9F0A99"/>
    <w:multiLevelType w:val="hybridMultilevel"/>
    <w:tmpl w:val="8B2C8C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9C5E4C"/>
    <w:multiLevelType w:val="hybridMultilevel"/>
    <w:tmpl w:val="C222077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7FC8672E"/>
    <w:multiLevelType w:val="hybridMultilevel"/>
    <w:tmpl w:val="55C4CAD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20"/>
  </w:num>
  <w:num w:numId="4">
    <w:abstractNumId w:val="18"/>
  </w:num>
  <w:num w:numId="5">
    <w:abstractNumId w:val="7"/>
  </w:num>
  <w:num w:numId="6">
    <w:abstractNumId w:val="4"/>
  </w:num>
  <w:num w:numId="7">
    <w:abstractNumId w:val="16"/>
  </w:num>
  <w:num w:numId="8">
    <w:abstractNumId w:val="24"/>
  </w:num>
  <w:num w:numId="9">
    <w:abstractNumId w:val="3"/>
  </w:num>
  <w:num w:numId="10">
    <w:abstractNumId w:val="8"/>
  </w:num>
  <w:num w:numId="11">
    <w:abstractNumId w:val="21"/>
  </w:num>
  <w:num w:numId="12">
    <w:abstractNumId w:val="23"/>
  </w:num>
  <w:num w:numId="13">
    <w:abstractNumId w:val="6"/>
  </w:num>
  <w:num w:numId="14">
    <w:abstractNumId w:val="15"/>
  </w:num>
  <w:num w:numId="15">
    <w:abstractNumId w:val="19"/>
  </w:num>
  <w:num w:numId="16">
    <w:abstractNumId w:val="17"/>
  </w:num>
  <w:num w:numId="17">
    <w:abstractNumId w:val="11"/>
  </w:num>
  <w:num w:numId="18">
    <w:abstractNumId w:val="10"/>
  </w:num>
  <w:num w:numId="19">
    <w:abstractNumId w:val="2"/>
  </w:num>
  <w:num w:numId="20">
    <w:abstractNumId w:val="5"/>
  </w:num>
  <w:num w:numId="21">
    <w:abstractNumId w:val="22"/>
  </w:num>
  <w:num w:numId="22">
    <w:abstractNumId w:val="14"/>
  </w:num>
  <w:num w:numId="23">
    <w:abstractNumId w:val="9"/>
  </w:num>
  <w:num w:numId="24">
    <w:abstractNumId w:val="0"/>
  </w:num>
  <w:num w:numId="25">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CC"/>
    <w:rsid w:val="000275CD"/>
    <w:rsid w:val="00052BAE"/>
    <w:rsid w:val="00067121"/>
    <w:rsid w:val="000E7C4E"/>
    <w:rsid w:val="00107ACC"/>
    <w:rsid w:val="00107E26"/>
    <w:rsid w:val="00112F3C"/>
    <w:rsid w:val="001133D9"/>
    <w:rsid w:val="0020020D"/>
    <w:rsid w:val="002014C4"/>
    <w:rsid w:val="00297BF8"/>
    <w:rsid w:val="00297F6D"/>
    <w:rsid w:val="003005D0"/>
    <w:rsid w:val="0031429C"/>
    <w:rsid w:val="003173AC"/>
    <w:rsid w:val="00320C01"/>
    <w:rsid w:val="00343D16"/>
    <w:rsid w:val="00384C6D"/>
    <w:rsid w:val="00387251"/>
    <w:rsid w:val="00393EAB"/>
    <w:rsid w:val="003B472C"/>
    <w:rsid w:val="003C19A3"/>
    <w:rsid w:val="00407460"/>
    <w:rsid w:val="0043345B"/>
    <w:rsid w:val="00435209"/>
    <w:rsid w:val="0044181F"/>
    <w:rsid w:val="004A375A"/>
    <w:rsid w:val="004C2D9C"/>
    <w:rsid w:val="00515DF9"/>
    <w:rsid w:val="005D7554"/>
    <w:rsid w:val="00634205"/>
    <w:rsid w:val="0069692B"/>
    <w:rsid w:val="00736264"/>
    <w:rsid w:val="0074464C"/>
    <w:rsid w:val="0076203F"/>
    <w:rsid w:val="008662E7"/>
    <w:rsid w:val="008B14D1"/>
    <w:rsid w:val="008D0C78"/>
    <w:rsid w:val="008D0EE4"/>
    <w:rsid w:val="00913CCF"/>
    <w:rsid w:val="00935024"/>
    <w:rsid w:val="00971088"/>
    <w:rsid w:val="009D11E4"/>
    <w:rsid w:val="00A32AFD"/>
    <w:rsid w:val="00A67284"/>
    <w:rsid w:val="00AB51F7"/>
    <w:rsid w:val="00AC7D6A"/>
    <w:rsid w:val="00B56CA5"/>
    <w:rsid w:val="00B655A4"/>
    <w:rsid w:val="00B76B2C"/>
    <w:rsid w:val="00B916F3"/>
    <w:rsid w:val="00C86BF7"/>
    <w:rsid w:val="00CB32EF"/>
    <w:rsid w:val="00CB4495"/>
    <w:rsid w:val="00CB48A6"/>
    <w:rsid w:val="00CF4552"/>
    <w:rsid w:val="00D10331"/>
    <w:rsid w:val="00D378C2"/>
    <w:rsid w:val="00D747BF"/>
    <w:rsid w:val="00E22F6E"/>
    <w:rsid w:val="00E71AF0"/>
    <w:rsid w:val="00E73CD3"/>
    <w:rsid w:val="00EA09A9"/>
    <w:rsid w:val="00EB518F"/>
    <w:rsid w:val="00EB7BA5"/>
    <w:rsid w:val="00EC661F"/>
    <w:rsid w:val="00ED7644"/>
    <w:rsid w:val="00F42865"/>
    <w:rsid w:val="00F6017E"/>
    <w:rsid w:val="00F91C6B"/>
    <w:rsid w:val="00FD77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BE613A"/>
  <w15:chartTrackingRefBased/>
  <w15:docId w15:val="{7B8EF0BA-1782-45CD-8CA6-83C54E47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AC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ACC"/>
    <w:pPr>
      <w:ind w:left="720"/>
      <w:contextualSpacing/>
    </w:pPr>
  </w:style>
  <w:style w:type="table" w:styleId="Grilledutableau">
    <w:name w:val="Table Grid"/>
    <w:basedOn w:val="TableauNormal"/>
    <w:uiPriority w:val="59"/>
    <w:rsid w:val="00107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107ACC"/>
    <w:pPr>
      <w:tabs>
        <w:tab w:val="center" w:pos="4320"/>
        <w:tab w:val="right" w:pos="8640"/>
      </w:tabs>
    </w:pPr>
  </w:style>
  <w:style w:type="character" w:customStyle="1" w:styleId="PieddepageCar">
    <w:name w:val="Pied de page Car"/>
    <w:basedOn w:val="Policepardfaut"/>
    <w:link w:val="Pieddepage"/>
    <w:uiPriority w:val="99"/>
    <w:rsid w:val="00107ACC"/>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107ACC"/>
    <w:pPr>
      <w:spacing w:after="120" w:line="480" w:lineRule="auto"/>
      <w:ind w:left="283"/>
    </w:pPr>
  </w:style>
  <w:style w:type="character" w:customStyle="1" w:styleId="Retraitcorpsdetexte2Car">
    <w:name w:val="Retrait corps de texte 2 Car"/>
    <w:basedOn w:val="Policepardfaut"/>
    <w:link w:val="Retraitcorpsdetexte2"/>
    <w:uiPriority w:val="99"/>
    <w:rsid w:val="00107AC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B44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495"/>
    <w:rPr>
      <w:rFonts w:ascii="Segoe UI" w:eastAsia="Times New Roman" w:hAnsi="Segoe UI" w:cs="Segoe UI"/>
      <w:sz w:val="18"/>
      <w:szCs w:val="18"/>
      <w:lang w:eastAsia="fr-FR"/>
    </w:rPr>
  </w:style>
  <w:style w:type="paragraph" w:styleId="En-tte">
    <w:name w:val="header"/>
    <w:basedOn w:val="Normal"/>
    <w:link w:val="En-tteCar"/>
    <w:uiPriority w:val="99"/>
    <w:unhideWhenUsed/>
    <w:rsid w:val="00CB4495"/>
    <w:pPr>
      <w:tabs>
        <w:tab w:val="center" w:pos="4320"/>
        <w:tab w:val="right" w:pos="8640"/>
      </w:tabs>
    </w:pPr>
  </w:style>
  <w:style w:type="character" w:customStyle="1" w:styleId="En-tteCar">
    <w:name w:val="En-tête Car"/>
    <w:basedOn w:val="Policepardfaut"/>
    <w:link w:val="En-tte"/>
    <w:uiPriority w:val="99"/>
    <w:rsid w:val="00CB4495"/>
    <w:rPr>
      <w:rFonts w:ascii="Times New Roman" w:eastAsia="Times New Roman" w:hAnsi="Times New Roman" w:cs="Times New Roman"/>
      <w:sz w:val="24"/>
      <w:szCs w:val="24"/>
      <w:lang w:eastAsia="fr-FR"/>
    </w:rPr>
  </w:style>
  <w:style w:type="paragraph" w:customStyle="1" w:styleId="Default">
    <w:name w:val="Default"/>
    <w:rsid w:val="000275CD"/>
    <w:pPr>
      <w:autoSpaceDE w:val="0"/>
      <w:autoSpaceDN w:val="0"/>
      <w:adjustRightInd w:val="0"/>
      <w:spacing w:after="0" w:line="240" w:lineRule="auto"/>
    </w:pPr>
    <w:rPr>
      <w:rFonts w:ascii="Century" w:hAnsi="Century" w:cs="Century"/>
      <w:color w:val="000000"/>
      <w:sz w:val="24"/>
      <w:szCs w:val="24"/>
    </w:rPr>
  </w:style>
  <w:style w:type="character" w:styleId="Lienhypertexte">
    <w:name w:val="Hyperlink"/>
    <w:basedOn w:val="Policepardfaut"/>
    <w:uiPriority w:val="99"/>
    <w:unhideWhenUsed/>
    <w:rsid w:val="00EC661F"/>
    <w:rPr>
      <w:color w:val="0563C1" w:themeColor="hyperlink"/>
      <w:u w:val="single"/>
    </w:rPr>
  </w:style>
  <w:style w:type="paragraph" w:styleId="Corpsdetexte">
    <w:name w:val="Body Text"/>
    <w:basedOn w:val="Normal"/>
    <w:link w:val="CorpsdetexteCar"/>
    <w:uiPriority w:val="99"/>
    <w:semiHidden/>
    <w:unhideWhenUsed/>
    <w:rsid w:val="00AB51F7"/>
    <w:pPr>
      <w:spacing w:after="120"/>
    </w:pPr>
  </w:style>
  <w:style w:type="character" w:customStyle="1" w:styleId="CorpsdetexteCar">
    <w:name w:val="Corps de texte Car"/>
    <w:basedOn w:val="Policepardfaut"/>
    <w:link w:val="Corpsdetexte"/>
    <w:uiPriority w:val="99"/>
    <w:semiHidden/>
    <w:rsid w:val="00AB51F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Genevieve Hubert</cp:lastModifiedBy>
  <cp:revision>29</cp:revision>
  <cp:lastPrinted>2016-01-20T18:08:00Z</cp:lastPrinted>
  <dcterms:created xsi:type="dcterms:W3CDTF">2015-12-04T18:50:00Z</dcterms:created>
  <dcterms:modified xsi:type="dcterms:W3CDTF">2018-10-23T15:35:00Z</dcterms:modified>
</cp:coreProperties>
</file>